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English CertTESOL Enrolment  Form</w:t>
      </w:r>
    </w:p>
    <w:p>
      <w:pPr>
        <w:pStyle w:val="3"/>
      </w:pPr>
    </w:p>
    <w:p>
      <w:pPr>
        <w:pStyle w:val="2"/>
        <w:jc w:val="center"/>
        <w:rPr>
          <w:rFonts w:ascii="Times New Roman" w:hAnsi="Times New Roman" w:eastAsia="Cambria" w:cs="Times New Roman"/>
          <w:sz w:val="28"/>
          <w:szCs w:val="28"/>
        </w:rPr>
      </w:pPr>
      <w:r>
        <w:rPr>
          <w:rFonts w:ascii="Times New Roman" w:hAnsi="Times New Roman" w:eastAsia="Cambria" w:cs="Times New Roman"/>
          <w:sz w:val="28"/>
          <w:szCs w:val="28"/>
        </w:rPr>
        <w:t>Personal information</w:t>
      </w:r>
    </w:p>
    <w:p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pPr w:leftFromText="180" w:rightFromText="180" w:vertAnchor="text" w:tblpY="11"/>
        <w:tblW w:w="0" w:type="auto"/>
        <w:tblInd w:w="0" w:type="dxa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7"/>
        <w:gridCol w:w="4699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Preferred Course Date 1: _______________</w:t>
            </w:r>
          </w:p>
        </w:tc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83"/>
                <w:tab w:val="center" w:pos="2355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Preferred Course Date 2: 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name: ___________________________</w:t>
            </w:r>
          </w:p>
        </w:tc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83"/>
                <w:tab w:val="center" w:pos="235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Name: 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Nationality: ___________________________</w:t>
            </w:r>
          </w:p>
        </w:tc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 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No.:__________________________</w:t>
            </w:r>
          </w:p>
        </w:tc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 _______________________________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1: __________________________</w:t>
            </w:r>
          </w:p>
        </w:tc>
        <w:tc>
          <w:tcPr>
            <w:tcW w:w="4927" w:type="dxa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2: 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 _____________________________________________________________________ _____________________________________________________________________________</w:t>
            </w:r>
          </w:p>
        </w:tc>
      </w:tr>
    </w:tbl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eastAsia="Cambria" w:cs="Times New Roman"/>
          <w:sz w:val="28"/>
          <w:szCs w:val="28"/>
        </w:rPr>
      </w:pPr>
    </w:p>
    <w:p>
      <w:pPr>
        <w:pStyle w:val="2"/>
        <w:jc w:val="center"/>
        <w:rPr>
          <w:rFonts w:ascii="Times New Roman" w:hAnsi="Times New Roman" w:eastAsia="Cambria" w:cs="Times New Roman"/>
          <w:sz w:val="28"/>
          <w:szCs w:val="28"/>
        </w:rPr>
      </w:pPr>
      <w:r>
        <w:rPr>
          <w:rFonts w:ascii="Times New Roman" w:hAnsi="Times New Roman" w:eastAsia="Cambria" w:cs="Times New Roman"/>
          <w:sz w:val="28"/>
          <w:szCs w:val="28"/>
        </w:rPr>
        <w:t>Qualifications and skills</w:t>
      </w:r>
    </w:p>
    <w:p>
      <w:pPr>
        <w:pStyle w:val="2"/>
        <w:jc w:val="center"/>
        <w:rPr>
          <w:rFonts w:ascii="Times New Roman" w:hAnsi="Times New Roman" w:eastAsia="Cambria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4989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608" w:type="dxa"/>
            <w:shd w:val="clear" w:color="auto" w:fill="DAEEF3" w:themeFill="accent5" w:themeFillTint="33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jc w:val="center"/>
              <w:outlineLvl w:val="1"/>
              <w:rPr>
                <w:rFonts w:ascii="Times New Roman" w:hAnsi="Times New Roman" w:eastAsia="Cambria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 w:val="0"/>
                <w:sz w:val="24"/>
                <w:szCs w:val="24"/>
              </w:rPr>
              <w:t>First Language: ___________________</w:t>
            </w:r>
          </w:p>
        </w:tc>
        <w:tc>
          <w:tcPr>
            <w:tcW w:w="5246" w:type="dxa"/>
            <w:shd w:val="clear" w:color="auto" w:fill="DAEEF3" w:themeFill="accent5" w:themeFillTint="33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outlineLvl w:val="1"/>
              <w:rPr>
                <w:rFonts w:ascii="Times New Roman" w:hAnsi="Times New Roman" w:eastAsia="Cambria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 w:val="0"/>
                <w:sz w:val="24"/>
                <w:szCs w:val="24"/>
              </w:rPr>
              <w:t>Preferred Language: 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outlineLvl w:val="1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Other Languages Spoken (and to what level of proficiency): __________________________ ____________________________________________________________________________________________________________________________________________________________</w:t>
            </w:r>
          </w:p>
          <w:p>
            <w:pPr>
              <w:pStyle w:val="3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outlineLvl w:val="1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Academic qualifications: ________________________________________________________</w:t>
            </w:r>
          </w:p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3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pStyle w:val="2"/>
        <w:jc w:val="center"/>
        <w:rPr>
          <w:rFonts w:ascii="Times New Roman" w:hAnsi="Times New Roman" w:eastAsia="Cambria"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</w:p>
    <w:p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1"/>
        <w:gridCol w:w="4145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Present/previous career : ____________________ </w:t>
            </w:r>
          </w:p>
        </w:tc>
        <w:tc>
          <w:tcPr>
            <w:tcW w:w="4436" w:type="dxa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started: 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relevant employment history:_______________________________________________</w:t>
            </w:r>
          </w:p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did you hear about the Kent English CertTESOL course? _______________________ ______________________________________________________________________________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Reasons for applying for this course: 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shd w:val="clear" w:color="auto" w:fill="DAEEF3" w:themeFill="accent5" w:themeFillTint="33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learning needs (if any): ______________________________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_____________________</w:t>
            </w:r>
          </w:p>
        </w:tc>
      </w:tr>
    </w:tbl>
    <w:p/>
    <w:p/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/ Accommodation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9"/>
        <w:tblW w:w="0" w:type="auto"/>
        <w:tblInd w:w="0" w:type="dxa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single" w:color="7BA0CD" w:themeColor="accent1" w:themeTint="BF" w:sz="8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and Phone of Emergency Contact:    _______________________________________ 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require housing? If so, what type?  _______________________________________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you have a medical condition that might affect your performance on the course? 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If YES, please explain: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________________________________________________________________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single" w:color="7BA0CD" w:themeColor="accent1" w:themeTint="BF" w:sz="8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AEEF3" w:themeFill="accent5" w:themeFillTint="33"/>
          </w:tcPr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 _______________________________</w:t>
            </w:r>
          </w:p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Sign: </w:t>
            </w:r>
          </w:p>
          <w:p>
            <w:pPr>
              <w:pStyle w:val="3"/>
              <w:spacing w:line="480" w:lineRule="auto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 _______________________________</w:t>
            </w:r>
          </w:p>
        </w:tc>
      </w:tr>
    </w:tbl>
    <w:p/>
    <w:p/>
    <w:p>
      <w:pPr>
        <w:pStyle w:val="14"/>
        <w:jc w:val="center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val="en-GB"/>
        </w:rPr>
        <w:t>Terms and conditions for Trinity CertTESOL Courses at Kent English</w:t>
      </w: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1. General</w:t>
      </w:r>
    </w:p>
    <w:p>
      <w:pPr>
        <w:pStyle w:val="14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eastAsia="Trebuchet MS" w:cs="Times New Roman"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Customer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is referred to as ‘the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Applicant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’ and ‘the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Trainee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’ in this document.</w:t>
      </w:r>
    </w:p>
    <w:p>
      <w:pPr>
        <w:pStyle w:val="14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eastAsia="Trebuchet MS" w:cs="Times New Roman"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This document makes reference to, but is not the same as, 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Academic Regulations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for the Cert TESOL course.   </w:t>
      </w:r>
    </w:p>
    <w:p>
      <w:pPr>
        <w:pStyle w:val="14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eastAsia="Trebuchet MS" w:cs="Times New Roman"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Any query about these Terms and Conditions should be raised with 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Trinity Cert TESOL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Course Director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at the school making an offer.</w:t>
      </w:r>
    </w:p>
    <w:p>
      <w:pPr>
        <w:pStyle w:val="14"/>
        <w:spacing w:after="0" w:line="240" w:lineRule="auto"/>
        <w:jc w:val="left"/>
        <w:rPr>
          <w:rFonts w:ascii="Times New Roman" w:hAnsi="Times New Roman" w:eastAsia="Trebuchet MS" w:cs="Times New Roman"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2. Course Fees</w:t>
      </w:r>
    </w:p>
    <w:p>
      <w:pPr>
        <w:pStyle w:val="14"/>
        <w:numPr>
          <w:ilvl w:val="0"/>
          <w:numId w:val="2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Standard Course Fee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totals [</w:t>
      </w:r>
      <w:r>
        <w:rPr>
          <w:rFonts w:ascii="Times New Roman" w:hAnsi="Times New Roman" w:eastAsia="Calibri" w:cs="Times New Roman"/>
          <w:sz w:val="22"/>
          <w:szCs w:val="22"/>
          <w:u w:val="single"/>
          <w:lang w:val="en-GB"/>
        </w:rPr>
        <w:t>£ 1.</w:t>
      </w:r>
      <w:r>
        <w:rPr>
          <w:rFonts w:hint="default" w:ascii="Times New Roman" w:hAnsi="Times New Roman" w:eastAsia="Calibri" w:cs="Times New Roman"/>
          <w:sz w:val="22"/>
          <w:szCs w:val="22"/>
          <w:u w:val="single"/>
          <w:lang w:val="tr-TR"/>
        </w:rPr>
        <w:t>250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].</w:t>
      </w:r>
    </w:p>
    <w:p>
      <w:pPr>
        <w:pStyle w:val="14"/>
        <w:numPr>
          <w:ilvl w:val="0"/>
          <w:numId w:val="2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During off-peak times of year, a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Special Offer Course Fee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may be offered. This will be stated clearly in the offer letter.</w:t>
      </w:r>
    </w:p>
    <w:p>
      <w:pPr>
        <w:pStyle w:val="14"/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3. Prompt Payment Discounts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</w:t>
      </w:r>
    </w:p>
    <w:p>
      <w:pPr>
        <w:pStyle w:val="14"/>
        <w:numPr>
          <w:ilvl w:val="0"/>
          <w:numId w:val="3"/>
        </w:numPr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Only apply to the Standard Course Fee, and do not apply to Special Offer Courses at off-peak times of year. See section 3 for details.</w:t>
      </w:r>
    </w:p>
    <w:p>
      <w:pPr>
        <w:pStyle w:val="14"/>
        <w:numPr>
          <w:ilvl w:val="0"/>
          <w:numId w:val="3"/>
        </w:numPr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Course Fees are inclusive of all examination, certification and material costs. </w:t>
      </w:r>
    </w:p>
    <w:p>
      <w:pPr>
        <w:pStyle w:val="14"/>
        <w:numPr>
          <w:ilvl w:val="0"/>
          <w:numId w:val="3"/>
        </w:numPr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Course Fees do not include the cost of a Grammar book or copy of ‘How to Teach English’ by Jeremy Harmer (which are not essential, but both recommended for Cert TESOL trainees).</w:t>
      </w:r>
    </w:p>
    <w:p>
      <w:pPr>
        <w:pStyle w:val="14"/>
        <w:numPr>
          <w:ilvl w:val="0"/>
          <w:numId w:val="3"/>
        </w:numPr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If any coursework needs to be reassessed after the course has finished (a process known as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Referral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), additional fees will apply. See section 5 for details.</w:t>
      </w:r>
    </w:p>
    <w:p>
      <w:pPr>
        <w:pStyle w:val="14"/>
        <w:numPr>
          <w:ilvl w:val="0"/>
          <w:numId w:val="3"/>
        </w:numPr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Course Fees must be paid in full at least 14 days before the course begins. </w:t>
      </w:r>
    </w:p>
    <w:p>
      <w:pPr>
        <w:pStyle w:val="14"/>
        <w:numPr>
          <w:ilvl w:val="0"/>
          <w:numId w:val="3"/>
        </w:numPr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Places on the course are not confirmed until Course Fees are paid in full. </w:t>
      </w: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5. Accommodation</w:t>
      </w:r>
    </w:p>
    <w:p>
      <w:pPr>
        <w:pStyle w:val="14"/>
        <w:numPr>
          <w:ilvl w:val="0"/>
          <w:numId w:val="4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 xml:space="preserve">If requested, 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accommodation for courses is organised by our parent company, </w:t>
      </w: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>ISTANBUL 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.</w:t>
      </w:r>
    </w:p>
    <w:p>
      <w:pPr>
        <w:pStyle w:val="14"/>
        <w:numPr>
          <w:ilvl w:val="0"/>
          <w:numId w:val="4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It is the Applicant’s responsibility to liaise with the administrator about accommodation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 xml:space="preserve">at least </w:t>
      </w:r>
      <w:r>
        <w:rPr>
          <w:rFonts w:hint="default" w:ascii="Times New Roman" w:hAnsi="Times New Roman" w:eastAsia="Calibri" w:cs="Times New Roman"/>
          <w:b/>
          <w:bCs/>
          <w:sz w:val="22"/>
          <w:szCs w:val="22"/>
          <w:lang w:val="tr-TR"/>
        </w:rPr>
        <w:t>four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 xml:space="preserve"> weeks beforehand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. Course cancellation as a result of not booking accommodation far enough in advance, will not be acceptable grounds for course refund. </w:t>
      </w:r>
    </w:p>
    <w:p>
      <w:pPr>
        <w:pStyle w:val="14"/>
        <w:numPr>
          <w:numId w:val="0"/>
        </w:numPr>
        <w:spacing w:after="0"/>
        <w:ind w:left="360" w:leftChars="0"/>
        <w:jc w:val="left"/>
        <w:rPr>
          <w:rFonts w:hint="default" w:ascii="Times New Roman" w:hAnsi="Times New Roman" w:eastAsia="Trebuchet MS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Schools Administrator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will answer any questions and provide an up-to-date tariff, and can be contacted by email:</w:t>
      </w: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 xml:space="preserve"> info@kentenglish.com</w:t>
      </w:r>
    </w:p>
    <w:p>
      <w:pPr>
        <w:pStyle w:val="14"/>
        <w:numPr>
          <w:ilvl w:val="0"/>
          <w:numId w:val="4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All accommodation is subject to availability. During peak times it is recommended that Cert TESOL trainees submit their requests early to avoid disappointment.</w:t>
      </w:r>
    </w:p>
    <w:p>
      <w:pPr>
        <w:pStyle w:val="14"/>
        <w:numPr>
          <w:ilvl w:val="0"/>
          <w:numId w:val="4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Accommodation bookings will not be processed until Course Fees have been paid in full.</w:t>
      </w:r>
    </w:p>
    <w:p>
      <w:pPr>
        <w:pStyle w:val="14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Terms and Conditions for booking Accommodation through </w:t>
      </w: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can be obtained from the Schools Administrator.</w:t>
      </w:r>
    </w:p>
    <w:p>
      <w:pPr>
        <w:pStyle w:val="14"/>
        <w:spacing w:after="0"/>
        <w:jc w:val="left"/>
        <w:rPr>
          <w:rFonts w:ascii="Times New Roman" w:hAnsi="Times New Roman" w:cs="Times New Roman"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6. Academic Regulations</w:t>
      </w:r>
    </w:p>
    <w:p>
      <w:pPr>
        <w:pStyle w:val="14"/>
        <w:numPr>
          <w:ilvl w:val="0"/>
          <w:numId w:val="5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The award of the Trinity Cert TESOL is governed by the Academic Regulations of the course provider, </w:t>
      </w: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, and the accrediting body, Trinity College London. The Academic Regulations are given elsewhere.</w:t>
      </w:r>
    </w:p>
    <w:p>
      <w:pPr>
        <w:pStyle w:val="14"/>
        <w:numPr>
          <w:ilvl w:val="0"/>
          <w:numId w:val="5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By accepting the offer of a place on the Trinity Cert TESOL, the Applicant acknowledges that this is a University-accredited course, and as such there are no guarantees of a pass result.</w:t>
      </w:r>
    </w:p>
    <w:p>
      <w:pPr>
        <w:pStyle w:val="14"/>
        <w:numPr>
          <w:ilvl w:val="0"/>
          <w:numId w:val="5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will do everything possible to ensure all Cert TESOL trainees complete all coursework to a pass standard, within the duration of the course. Trainees are allowed to resubmit work as many times as required, providing resubmissions occur within the duration of the course.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If any coursework needs to be reassessed after the course has finished, this is known as Referral. The full rules on Referral can be found in the Academic Regulations. </w:t>
      </w:r>
    </w:p>
    <w:p>
      <w:pPr>
        <w:pStyle w:val="14"/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7. Cancelations and Transfers (By the candidate)</w:t>
      </w:r>
    </w:p>
    <w:p>
      <w:pPr>
        <w:pStyle w:val="14"/>
        <w:numPr>
          <w:ilvl w:val="0"/>
          <w:numId w:val="6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If the Applicant cancels their booking, and withdraws from the Cert TESOL course:</w:t>
      </w:r>
    </w:p>
    <w:p>
      <w:pPr>
        <w:pStyle w:val="14"/>
        <w:numPr>
          <w:ilvl w:val="0"/>
          <w:numId w:val="7"/>
        </w:numPr>
        <w:spacing w:after="0"/>
        <w:ind w:left="108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More than 4 weeks before the course starts – full refund minus </w:t>
      </w: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>deposit, (£350)</w:t>
      </w:r>
    </w:p>
    <w:p>
      <w:pPr>
        <w:pStyle w:val="14"/>
        <w:numPr>
          <w:ilvl w:val="0"/>
          <w:numId w:val="7"/>
        </w:numPr>
        <w:spacing w:after="0"/>
        <w:ind w:left="108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Between 2 and 4 weeks before the course starts – 50% refund minus</w:t>
      </w: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>, (£350)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.</w:t>
      </w:r>
    </w:p>
    <w:p>
      <w:pPr>
        <w:pStyle w:val="14"/>
        <w:numPr>
          <w:ilvl w:val="0"/>
          <w:numId w:val="7"/>
        </w:numPr>
        <w:spacing w:after="0"/>
        <w:ind w:left="108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Less than 2 weeks before the course starts – no refund.</w:t>
      </w:r>
    </w:p>
    <w:p>
      <w:pPr>
        <w:pStyle w:val="14"/>
        <w:numPr>
          <w:ilvl w:val="0"/>
          <w:numId w:val="6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If the Applicant is unable to attend a course because their </w:t>
      </w: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Visa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has been rejected, provided that the Applicant provides evidence of that rejection, they shall be entitled to a full refund</w:t>
      </w: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>.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</w:t>
      </w:r>
    </w:p>
    <w:p>
      <w:pPr>
        <w:pStyle w:val="14"/>
        <w:numPr>
          <w:ilvl w:val="0"/>
          <w:numId w:val="6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Once Course Fees have been paid, if the Applicant wishes to transfer to an earlier/later course, </w:t>
      </w: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will try to organise this, but can offer no guarantees that this will always be possible at a time convenient to the Applicant.</w:t>
      </w:r>
    </w:p>
    <w:p>
      <w:pPr>
        <w:pStyle w:val="14"/>
        <w:numPr>
          <w:ilvl w:val="0"/>
          <w:numId w:val="6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There are no additional charges for transferring to another course. </w:t>
      </w:r>
    </w:p>
    <w:p>
      <w:pPr>
        <w:pStyle w:val="14"/>
        <w:numPr>
          <w:ilvl w:val="0"/>
          <w:numId w:val="6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Once on an active course, Trainees will not be refunded any part of the course fees if they withdraw. </w:t>
      </w: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will do their best to transfer that student to a convenient later course, subject to availability. </w:t>
      </w:r>
    </w:p>
    <w:p>
      <w:pPr>
        <w:pStyle w:val="14"/>
        <w:numPr>
          <w:ilvl w:val="0"/>
          <w:numId w:val="6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Once on an active course, Trainees may only transfer to later courses in extraordinary circumstances, to be decided by the Course Director.</w:t>
      </w:r>
    </w:p>
    <w:p>
      <w:pPr>
        <w:pStyle w:val="14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00" w:lineRule="auto"/>
        <w:jc w:val="left"/>
        <w:rPr>
          <w:rFonts w:ascii="Times New Roman" w:hAnsi="Times New Roman" w:eastAsia="Calibri" w:cs="Times New Roman"/>
          <w:sz w:val="22"/>
          <w:szCs w:val="22"/>
          <w:lang w:val="en-GB"/>
        </w:rPr>
      </w:pPr>
    </w:p>
    <w:p>
      <w:pPr>
        <w:pStyle w:val="14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00" w:lineRule="auto"/>
        <w:jc w:val="left"/>
        <w:rPr>
          <w:rFonts w:ascii="Times New Roman" w:hAnsi="Times New Roman" w:eastAsia="Calibri" w:cs="Times New Roman"/>
          <w:sz w:val="22"/>
          <w:szCs w:val="22"/>
          <w:lang w:val="en-GB"/>
        </w:rPr>
      </w:pPr>
    </w:p>
    <w:p>
      <w:pPr>
        <w:pStyle w:val="14"/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8. Course Cancelations (By Kent English)</w:t>
      </w:r>
    </w:p>
    <w:p>
      <w:pPr>
        <w:pStyle w:val="14"/>
        <w:numPr>
          <w:ilvl w:val="0"/>
          <w:numId w:val="8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If </w:t>
      </w: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needs to cancels a course, all fees paid will be refunded in full. </w:t>
      </w:r>
    </w:p>
    <w:p>
      <w:pPr>
        <w:pStyle w:val="14"/>
        <w:numPr>
          <w:ilvl w:val="0"/>
          <w:numId w:val="8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Where possible, </w:t>
      </w:r>
      <w:r>
        <w:rPr>
          <w:rFonts w:hint="default" w:ascii="Times New Roman" w:hAnsi="Times New Roman" w:eastAsia="Calibri" w:cs="Times New Roman"/>
          <w:sz w:val="22"/>
          <w:szCs w:val="22"/>
          <w:lang w:val="tr-TR"/>
        </w:rPr>
        <w:t>Turkey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>-based Applicants with no accommodation booking will be given 1 week’s notice if cancellation is likely.</w:t>
      </w:r>
    </w:p>
    <w:p>
      <w:pPr>
        <w:pStyle w:val="14"/>
        <w:numPr>
          <w:ilvl w:val="0"/>
          <w:numId w:val="8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Where possible, Overseas Applicants, and any Applicants with an accommodation booking, will be given 2 weeks’ notice if cancellation is likely.</w:t>
      </w:r>
    </w:p>
    <w:p>
      <w:pPr>
        <w:pStyle w:val="14"/>
        <w:numPr>
          <w:ilvl w:val="0"/>
          <w:numId w:val="8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>The provisions above, in 7.2 and 7.3 will only apply if full payment has been made at least 14 days before the course begins (see 2.7).</w:t>
      </w:r>
    </w:p>
    <w:p>
      <w:pPr>
        <w:pStyle w:val="14"/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</w:p>
    <w:p>
      <w:pPr>
        <w:pStyle w:val="14"/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9. Right to Withhold Academic Certification</w:t>
      </w:r>
    </w:p>
    <w:p>
      <w:pPr>
        <w:pStyle w:val="14"/>
        <w:numPr>
          <w:ilvl w:val="0"/>
          <w:numId w:val="9"/>
        </w:numPr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If any Course Fees, Accommodation charges or Referral charges are still outstanding after the Applicant has completed the Trinity Cert TESOL, </w:t>
      </w: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will withhold official certification and references until all outstanding balances have been settled. </w:t>
      </w:r>
    </w:p>
    <w:p>
      <w:pPr>
        <w:pStyle w:val="14"/>
        <w:spacing w:after="0"/>
        <w:jc w:val="left"/>
        <w:rPr>
          <w:rFonts w:ascii="Times New Roman" w:hAnsi="Times New Roman" w:eastAsia="Trebuchet MS" w:cs="Times New Roman"/>
          <w:b/>
          <w:bCs/>
          <w:sz w:val="22"/>
          <w:szCs w:val="22"/>
          <w:lang w:val="en-GB"/>
        </w:rPr>
      </w:pPr>
    </w:p>
    <w:p>
      <w:pPr>
        <w:pStyle w:val="14"/>
        <w:jc w:val="left"/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bCs/>
          <w:sz w:val="22"/>
          <w:szCs w:val="22"/>
          <w:lang w:val="en-GB"/>
        </w:rPr>
        <w:t>10. Expectations of Conduct</w:t>
      </w:r>
    </w:p>
    <w:p>
      <w:pPr>
        <w:pStyle w:val="14"/>
        <w:numPr>
          <w:ilvl w:val="0"/>
          <w:numId w:val="10"/>
        </w:numPr>
        <w:tabs>
          <w:tab w:val="left" w:pos="741"/>
        </w:tabs>
        <w:ind w:left="499" w:hanging="49"/>
        <w:jc w:val="left"/>
        <w:rPr>
          <w:rFonts w:ascii="Times New Roman" w:hAnsi="Times New Roman" w:eastAsia="Trebuchet MS" w:cs="Times New Roman"/>
          <w:sz w:val="22"/>
          <w:szCs w:val="22"/>
          <w:lang w:val="en-GB"/>
        </w:rPr>
      </w:pPr>
      <w:r>
        <w:rPr>
          <w:rFonts w:ascii="Times New Roman" w:hAnsi="Times New Roman" w:eastAsia="Calibri" w:cs="Times New Roman"/>
          <w:b/>
          <w:sz w:val="22"/>
          <w:szCs w:val="22"/>
          <w:lang w:val="en-GB"/>
        </w:rPr>
        <w:t>Kent English</w:t>
      </w:r>
      <w:r>
        <w:rPr>
          <w:rFonts w:ascii="Times New Roman" w:hAnsi="Times New Roman" w:eastAsia="Calibri" w:cs="Times New Roman"/>
          <w:sz w:val="22"/>
          <w:szCs w:val="22"/>
          <w:lang w:val="en-GB"/>
        </w:rPr>
        <w:t xml:space="preserve"> reserves the right to exclude Applicants/Trainees from a course without refund for misconduct deemed to be behaviour that repeatedly upsets the harmony of the course and/or the school.</w:t>
      </w:r>
    </w:p>
    <w:p>
      <w:pPr>
        <w:pStyle w:val="14"/>
        <w:wordWrap w:val="0"/>
        <w:jc w:val="center"/>
        <w:rPr>
          <w:rFonts w:hint="default" w:ascii="Times New Roman" w:hAnsi="Times New Roman" w:eastAsia="Calibri" w:cs="Times New Roman"/>
          <w:sz w:val="24"/>
          <w:szCs w:val="24"/>
          <w:lang w:val="tr-T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tr-TR"/>
        </w:rPr>
        <w:t xml:space="preserve">                                                                                  ISTANBUL KENT ENGLISH  2022</w:t>
      </w:r>
    </w:p>
    <w:p/>
    <w:p>
      <w:pPr>
        <w:pStyle w:val="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>
      <w:pPr>
        <w:pStyle w:val="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480" w:lineRule="auto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Sign: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________________________________</w:t>
      </w:r>
      <w:bookmarkStart w:id="0" w:name="_GoBack"/>
      <w:bookmarkEnd w:id="0"/>
    </w:p>
    <w:p/>
    <w:p>
      <w:r>
        <w:t>Date: _______________________________</w:t>
      </w:r>
    </w:p>
    <w:p/>
    <w:p/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A2"/>
    <w:family w:val="roman"/>
    <w:pitch w:val="default"/>
    <w:sig w:usb0="00000000" w:usb1="00000000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4731385</wp:posOffset>
          </wp:positionH>
          <wp:positionV relativeFrom="paragraph">
            <wp:posOffset>121920</wp:posOffset>
          </wp:positionV>
          <wp:extent cx="1390650" cy="443865"/>
          <wp:effectExtent l="0" t="0" r="0" b="0"/>
          <wp:wrapThrough wrapText="bothSides">
            <wp:wrapPolygon>
              <wp:start x="0" y="0"/>
              <wp:lineTo x="0" y="20395"/>
              <wp:lineTo x="21304" y="20395"/>
              <wp:lineTo x="21304" y="0"/>
              <wp:lineTo x="0" y="0"/>
            </wp:wrapPolygon>
          </wp:wrapThrough>
          <wp:docPr id="15" name="Picture 15" descr="Trinity College London | Sidmouth Internation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rinity College London | Sidmouth Internation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609600" cy="570865"/>
          <wp:effectExtent l="0" t="0" r="0" b="635"/>
          <wp:docPr id="16" name="Picture 1" descr="C:\WINDOWS\Desktop\game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WINDOWS\Desktop\games\logo.bmp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764" cy="576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554"/>
    <w:multiLevelType w:val="multilevel"/>
    <w:tmpl w:val="15C0255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89"/>
    <w:multiLevelType w:val="multilevel"/>
    <w:tmpl w:val="171C538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1F2A"/>
    <w:multiLevelType w:val="multilevel"/>
    <w:tmpl w:val="276C1F2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1280"/>
    <w:multiLevelType w:val="multilevel"/>
    <w:tmpl w:val="33551280"/>
    <w:lvl w:ilvl="0" w:tentative="0">
      <w:start w:val="1"/>
      <w:numFmt w:val="decimal"/>
      <w:lvlText w:val="%1."/>
      <w:lvlJc w:val="left"/>
      <w:pPr>
        <w:tabs>
          <w:tab w:val="left" w:pos="349"/>
        </w:tabs>
        <w:ind w:left="349" w:hanging="349"/>
      </w:pPr>
      <w:rPr>
        <w:rFonts w:ascii="Trebuchet MS" w:hAnsi="Trebuchet MS" w:eastAsia="Trebuchet MS" w:cs="Trebuchet MS"/>
        <w:position w:val="0"/>
        <w:sz w:val="14"/>
        <w:szCs w:val="14"/>
      </w:rPr>
    </w:lvl>
    <w:lvl w:ilvl="1" w:tentative="0">
      <w:start w:val="1"/>
      <w:numFmt w:val="lowerLetter"/>
      <w:lvlText w:val="%2."/>
      <w:lvlJc w:val="left"/>
      <w:pPr>
        <w:tabs>
          <w:tab w:val="left" w:pos="1290"/>
        </w:tabs>
        <w:ind w:left="1290" w:hanging="210"/>
      </w:pPr>
      <w:rPr>
        <w:rFonts w:ascii="Calibri" w:hAnsi="Calibri" w:eastAsia="Calibri" w:cs="Calibri"/>
        <w:position w:val="0"/>
        <w:sz w:val="14"/>
        <w:szCs w:val="14"/>
      </w:rPr>
    </w:lvl>
    <w:lvl w:ilvl="2" w:tentative="0">
      <w:start w:val="1"/>
      <w:numFmt w:val="lowerRoman"/>
      <w:lvlText w:val="%3."/>
      <w:lvlJc w:val="left"/>
      <w:pPr>
        <w:tabs>
          <w:tab w:val="left" w:pos="2037"/>
        </w:tabs>
        <w:ind w:left="2037" w:hanging="173"/>
      </w:pPr>
      <w:rPr>
        <w:rFonts w:ascii="Calibri" w:hAnsi="Calibri" w:eastAsia="Calibri" w:cs="Calibri"/>
        <w:position w:val="0"/>
        <w:sz w:val="14"/>
        <w:szCs w:val="14"/>
      </w:rPr>
    </w:lvl>
    <w:lvl w:ilvl="3" w:tentative="0">
      <w:start w:val="1"/>
      <w:numFmt w:val="decimal"/>
      <w:lvlText w:val="%4."/>
      <w:lvlJc w:val="left"/>
      <w:pPr>
        <w:tabs>
          <w:tab w:val="left" w:pos="2730"/>
        </w:tabs>
        <w:ind w:left="2730" w:hanging="210"/>
      </w:pPr>
      <w:rPr>
        <w:rFonts w:ascii="Calibri" w:hAnsi="Calibri" w:eastAsia="Calibri" w:cs="Calibri"/>
        <w:position w:val="0"/>
        <w:sz w:val="14"/>
        <w:szCs w:val="14"/>
      </w:rPr>
    </w:lvl>
    <w:lvl w:ilvl="4" w:tentative="0">
      <w:start w:val="1"/>
      <w:numFmt w:val="lowerLetter"/>
      <w:lvlText w:val="%5."/>
      <w:lvlJc w:val="left"/>
      <w:pPr>
        <w:tabs>
          <w:tab w:val="left" w:pos="3450"/>
        </w:tabs>
        <w:ind w:left="3450" w:hanging="210"/>
      </w:pPr>
      <w:rPr>
        <w:rFonts w:ascii="Calibri" w:hAnsi="Calibri" w:eastAsia="Calibri" w:cs="Calibri"/>
        <w:position w:val="0"/>
        <w:sz w:val="14"/>
        <w:szCs w:val="14"/>
      </w:rPr>
    </w:lvl>
    <w:lvl w:ilvl="5" w:tentative="0">
      <w:start w:val="1"/>
      <w:numFmt w:val="lowerRoman"/>
      <w:lvlText w:val="%6."/>
      <w:lvlJc w:val="left"/>
      <w:pPr>
        <w:tabs>
          <w:tab w:val="left" w:pos="4197"/>
        </w:tabs>
        <w:ind w:left="4197" w:hanging="173"/>
      </w:pPr>
      <w:rPr>
        <w:rFonts w:ascii="Calibri" w:hAnsi="Calibri" w:eastAsia="Calibri" w:cs="Calibri"/>
        <w:position w:val="0"/>
        <w:sz w:val="14"/>
        <w:szCs w:val="14"/>
      </w:rPr>
    </w:lvl>
    <w:lvl w:ilvl="6" w:tentative="0">
      <w:start w:val="1"/>
      <w:numFmt w:val="decimal"/>
      <w:lvlText w:val="%7."/>
      <w:lvlJc w:val="left"/>
      <w:pPr>
        <w:tabs>
          <w:tab w:val="left" w:pos="4890"/>
        </w:tabs>
        <w:ind w:left="4890" w:hanging="210"/>
      </w:pPr>
      <w:rPr>
        <w:rFonts w:ascii="Calibri" w:hAnsi="Calibri" w:eastAsia="Calibri" w:cs="Calibri"/>
        <w:position w:val="0"/>
        <w:sz w:val="14"/>
        <w:szCs w:val="14"/>
      </w:rPr>
    </w:lvl>
    <w:lvl w:ilvl="7" w:tentative="0">
      <w:start w:val="1"/>
      <w:numFmt w:val="lowerLetter"/>
      <w:lvlText w:val="%8."/>
      <w:lvlJc w:val="left"/>
      <w:pPr>
        <w:tabs>
          <w:tab w:val="left" w:pos="5610"/>
        </w:tabs>
        <w:ind w:left="5610" w:hanging="210"/>
      </w:pPr>
      <w:rPr>
        <w:rFonts w:ascii="Calibri" w:hAnsi="Calibri" w:eastAsia="Calibri" w:cs="Calibri"/>
        <w:position w:val="0"/>
        <w:sz w:val="14"/>
        <w:szCs w:val="14"/>
      </w:rPr>
    </w:lvl>
    <w:lvl w:ilvl="8" w:tentative="0">
      <w:start w:val="1"/>
      <w:numFmt w:val="lowerRoman"/>
      <w:lvlText w:val="%9."/>
      <w:lvlJc w:val="left"/>
      <w:pPr>
        <w:tabs>
          <w:tab w:val="left" w:pos="6357"/>
        </w:tabs>
        <w:ind w:left="6357" w:hanging="173"/>
      </w:pPr>
      <w:rPr>
        <w:rFonts w:ascii="Calibri" w:hAnsi="Calibri" w:eastAsia="Calibri" w:cs="Calibri"/>
        <w:position w:val="0"/>
        <w:sz w:val="14"/>
        <w:szCs w:val="14"/>
      </w:rPr>
    </w:lvl>
  </w:abstractNum>
  <w:abstractNum w:abstractNumId="4">
    <w:nsid w:val="34AC66D5"/>
    <w:multiLevelType w:val="multilevel"/>
    <w:tmpl w:val="34AC66D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31DF"/>
    <w:multiLevelType w:val="multilevel"/>
    <w:tmpl w:val="4CB031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6C43"/>
    <w:multiLevelType w:val="multilevel"/>
    <w:tmpl w:val="51086C43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E34F9"/>
    <w:multiLevelType w:val="multilevel"/>
    <w:tmpl w:val="59AE34F9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30F0B"/>
    <w:multiLevelType w:val="multilevel"/>
    <w:tmpl w:val="5A330F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6C30"/>
    <w:multiLevelType w:val="multilevel"/>
    <w:tmpl w:val="60846C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3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349"/>
          </w:tabs>
          <w:ind w:left="349" w:hanging="349"/>
        </w:pPr>
        <w:rPr>
          <w:rFonts w:hint="default" w:ascii="Times New Roman" w:hAnsi="Times New Roman" w:eastAsia="Trebuchet MS" w:cs="Times New Roman"/>
          <w:b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E3"/>
    <w:rsid w:val="00097F9B"/>
    <w:rsid w:val="0013631E"/>
    <w:rsid w:val="001F168C"/>
    <w:rsid w:val="002951E3"/>
    <w:rsid w:val="002B7FBC"/>
    <w:rsid w:val="0048419B"/>
    <w:rsid w:val="00606D3B"/>
    <w:rsid w:val="007471F6"/>
    <w:rsid w:val="008F2876"/>
    <w:rsid w:val="00C47295"/>
    <w:rsid w:val="00C7310B"/>
    <w:rsid w:val="00DE57C0"/>
    <w:rsid w:val="3E8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2"/>
    <w:next w:val="3"/>
    <w:link w:val="10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outlineLvl w:val="1"/>
    </w:pPr>
    <w:rPr>
      <w:rFonts w:ascii="Helvetica" w:hAnsi="Arial Unicode MS" w:eastAsia="Arial Unicode MS" w:cs="Arial Unicode MS"/>
      <w:b/>
      <w:bCs/>
      <w:color w:val="000000"/>
      <w:sz w:val="32"/>
      <w:szCs w:val="32"/>
      <w:lang w:val="en-GB" w:eastAsia="en-GB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Arial Unicode MS" w:eastAsia="Arial Unicode MS" w:cs="Arial Unicode MS"/>
      <w:color w:val="000000"/>
      <w:sz w:val="22"/>
      <w:szCs w:val="22"/>
      <w:lang w:val="en-GB" w:eastAsia="en-GB" w:bidi="ar-SA"/>
    </w:r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1"/>
    <w:unhideWhenUsed/>
    <w:uiPriority w:val="0"/>
    <w:pPr>
      <w:tabs>
        <w:tab w:val="center" w:pos="4680"/>
        <w:tab w:val="right" w:pos="9360"/>
      </w:tabs>
    </w:pPr>
  </w:style>
  <w:style w:type="table" w:styleId="9">
    <w:name w:val="Medium Grid 1 Accent 1"/>
    <w:basedOn w:val="5"/>
    <w:uiPriority w:val="6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val="en-GB" w:eastAsia="en-GB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character" w:customStyle="1" w:styleId="10">
    <w:name w:val="Heading 2 Char"/>
    <w:basedOn w:val="4"/>
    <w:link w:val="2"/>
    <w:uiPriority w:val="0"/>
    <w:rPr>
      <w:rFonts w:ascii="Helvetica" w:hAnsi="Arial Unicode MS" w:eastAsia="Arial Unicode MS" w:cs="Arial Unicode MS"/>
      <w:b/>
      <w:bCs/>
      <w:color w:val="000000"/>
      <w:sz w:val="32"/>
      <w:szCs w:val="32"/>
      <w:lang w:val="en-GB" w:eastAsia="en-GB"/>
    </w:rPr>
  </w:style>
  <w:style w:type="character" w:customStyle="1" w:styleId="11">
    <w:name w:val="Header Char"/>
    <w:basedOn w:val="4"/>
    <w:link w:val="8"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12">
    <w:name w:val="Footer Char"/>
    <w:basedOn w:val="4"/>
    <w:link w:val="7"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13">
    <w:name w:val="Balloon Text Char"/>
    <w:basedOn w:val="4"/>
    <w:link w:val="6"/>
    <w:semiHidden/>
    <w:uiPriority w:val="99"/>
    <w:rPr>
      <w:rFonts w:ascii="Tahoma" w:hAnsi="Tahoma" w:eastAsia="Arial Unicode MS" w:cs="Tahoma"/>
      <w:sz w:val="16"/>
      <w:szCs w:val="16"/>
    </w:rPr>
  </w:style>
  <w:style w:type="paragraph" w:customStyle="1" w:styleId="14">
    <w:name w:val="BaseStyle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40" w:line="300" w:lineRule="auto"/>
      <w:jc w:val="both"/>
    </w:pPr>
    <w:rPr>
      <w:rFonts w:ascii="Arial" w:hAnsi="Arial Unicode MS" w:eastAsia="Arial Unicode MS" w:cs="Arial Unicode MS"/>
      <w:color w:val="000000"/>
      <w:sz w:val="20"/>
      <w:szCs w:val="20"/>
      <w:u w:color="000000"/>
      <w:lang w:val="en-US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1492</Words>
  <Characters>8510</Characters>
  <Lines>70</Lines>
  <Paragraphs>19</Paragraphs>
  <TotalTime>33</TotalTime>
  <ScaleCrop>false</ScaleCrop>
  <LinksUpToDate>false</LinksUpToDate>
  <CharactersWithSpaces>9983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2022-05-25T08:08:00Z</dcterms:created>
  <dc:creator>kentenglish</dc:creator>
  <cp:lastModifiedBy>EverBook</cp:lastModifiedBy>
  <dcterms:modified xsi:type="dcterms:W3CDTF">2022-05-27T09:48:10Z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3E47FBC16A61400692117FA30BE1FCBE</vt:lpwstr>
  </property>
</Properties>
</file>